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2151"/>
        <w:gridCol w:w="1831"/>
        <w:gridCol w:w="2077"/>
        <w:gridCol w:w="3441"/>
        <w:gridCol w:w="3444"/>
      </w:tblGrid>
      <w:tr w:rsidR="0C630F75" w14:paraId="7D5C0EC3" w14:textId="77777777" w:rsidTr="1393E901">
        <w:trPr>
          <w:trHeight w:val="450"/>
        </w:trPr>
        <w:tc>
          <w:tcPr>
            <w:tcW w:w="2153" w:type="dxa"/>
            <w:shd w:val="clear" w:color="auto" w:fill="DAE8F8"/>
            <w:tcMar>
              <w:left w:w="105" w:type="dxa"/>
              <w:right w:w="105" w:type="dxa"/>
            </w:tcMar>
          </w:tcPr>
          <w:p w14:paraId="5F8273B3" w14:textId="7A93BBA2" w:rsidR="095830D8" w:rsidRDefault="095830D8" w:rsidP="0C630F75">
            <w:pPr>
              <w:spacing w:line="259" w:lineRule="auto"/>
              <w:rPr>
                <w:rFonts w:ascii="Aptos" w:eastAsia="Aptos" w:hAnsi="Aptos" w:cs="Aptos"/>
                <w:b/>
                <w:bCs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 xml:space="preserve">Author, Year, </w:t>
            </w:r>
            <w:r w:rsidR="7F750712"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Study Design</w:t>
            </w:r>
            <w:r w:rsidR="52F0A65D"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, Quality Rating</w:t>
            </w:r>
          </w:p>
        </w:tc>
        <w:tc>
          <w:tcPr>
            <w:tcW w:w="1833" w:type="dxa"/>
            <w:shd w:val="clear" w:color="auto" w:fill="DAE8F8"/>
            <w:tcMar>
              <w:left w:w="105" w:type="dxa"/>
              <w:right w:w="105" w:type="dxa"/>
            </w:tcMar>
          </w:tcPr>
          <w:p w14:paraId="69CA6838" w14:textId="0071E2BE" w:rsidR="6A8189A6" w:rsidRDefault="6A8189A6" w:rsidP="0C630F75">
            <w:pPr>
              <w:spacing w:line="259" w:lineRule="auto"/>
              <w:rPr>
                <w:rFonts w:ascii="Aptos" w:eastAsia="Aptos" w:hAnsi="Aptos" w:cs="Aptos"/>
                <w:b/>
                <w:bCs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 xml:space="preserve">Study </w:t>
            </w:r>
            <w:r w:rsidR="7F750712"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Purpose</w:t>
            </w:r>
          </w:p>
        </w:tc>
        <w:tc>
          <w:tcPr>
            <w:tcW w:w="2080" w:type="dxa"/>
            <w:shd w:val="clear" w:color="auto" w:fill="DAE8F8"/>
            <w:tcMar>
              <w:left w:w="105" w:type="dxa"/>
              <w:right w:w="105" w:type="dxa"/>
            </w:tcMar>
          </w:tcPr>
          <w:p w14:paraId="12297629" w14:textId="5C7324CB" w:rsidR="7F750712" w:rsidRDefault="7F750712" w:rsidP="0C630F75">
            <w:pPr>
              <w:spacing w:line="259" w:lineRule="auto"/>
              <w:rPr>
                <w:rFonts w:ascii="Aptos" w:eastAsia="Aptos" w:hAnsi="Aptos" w:cs="Aptos"/>
                <w:b/>
                <w:bCs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Sample</w:t>
            </w:r>
          </w:p>
        </w:tc>
        <w:tc>
          <w:tcPr>
            <w:tcW w:w="3447" w:type="dxa"/>
            <w:shd w:val="clear" w:color="auto" w:fill="DAE8F8"/>
            <w:tcMar>
              <w:left w:w="105" w:type="dxa"/>
              <w:right w:w="105" w:type="dxa"/>
            </w:tcMar>
          </w:tcPr>
          <w:p w14:paraId="3CC68C22" w14:textId="6F8B322D" w:rsidR="65C75A32" w:rsidRDefault="65C75A32" w:rsidP="0C630F75">
            <w:pPr>
              <w:spacing w:line="259" w:lineRule="auto"/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Outcomes</w:t>
            </w:r>
          </w:p>
        </w:tc>
        <w:tc>
          <w:tcPr>
            <w:tcW w:w="3447" w:type="dxa"/>
            <w:shd w:val="clear" w:color="auto" w:fill="DAE8F8"/>
            <w:tcMar>
              <w:left w:w="105" w:type="dxa"/>
              <w:right w:w="105" w:type="dxa"/>
            </w:tcMar>
          </w:tcPr>
          <w:p w14:paraId="6DC1AA7E" w14:textId="7F98C057" w:rsidR="7F750712" w:rsidRDefault="7F750712" w:rsidP="0C630F75">
            <w:pPr>
              <w:spacing w:line="259" w:lineRule="auto"/>
              <w:rPr>
                <w:rFonts w:ascii="Aptos" w:eastAsia="Aptos" w:hAnsi="Aptos" w:cs="Aptos"/>
                <w:b/>
                <w:bCs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Limitations</w:t>
            </w:r>
          </w:p>
        </w:tc>
      </w:tr>
      <w:tr w:rsidR="0C630F75" w14:paraId="2BAE68EB" w14:textId="77777777" w:rsidTr="1393E901">
        <w:trPr>
          <w:trHeight w:val="450"/>
        </w:trPr>
        <w:tc>
          <w:tcPr>
            <w:tcW w:w="2153" w:type="dxa"/>
            <w:tcMar>
              <w:left w:w="105" w:type="dxa"/>
              <w:right w:w="105" w:type="dxa"/>
            </w:tcMar>
          </w:tcPr>
          <w:p w14:paraId="13AA448A" w14:textId="29437764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sz w:val="22"/>
                <w:szCs w:val="22"/>
              </w:rPr>
              <w:t>Neale EP, Batterham MJ, Tapsell LC. Consumption of a healthy dietary pattern results in significant reductions in C-reactive protein levels in adults: a meta-analysis. Nutr Res. 2016;36(5):391-401.</w:t>
            </w:r>
          </w:p>
          <w:p w14:paraId="2E592675" w14:textId="0F58625C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Study design:</w:t>
            </w:r>
            <w:r w:rsidRPr="0C630F75">
              <w:rPr>
                <w:rFonts w:ascii="Aptos" w:eastAsia="Aptos" w:hAnsi="Aptos" w:cs="Aptos"/>
                <w:sz w:val="22"/>
                <w:szCs w:val="22"/>
              </w:rPr>
              <w:t xml:space="preserve"> Meta-analysis</w:t>
            </w:r>
          </w:p>
          <w:p w14:paraId="51167C84" w14:textId="12BADCCC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Quality rating:</w:t>
            </w:r>
            <w:r w:rsidRPr="0C630F75">
              <w:rPr>
                <w:rFonts w:ascii="Aptos" w:eastAsia="Aptos" w:hAnsi="Aptos" w:cs="Aptos"/>
                <w:sz w:val="22"/>
                <w:szCs w:val="22"/>
              </w:rPr>
              <w:t xml:space="preserve"> </w:t>
            </w: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Positive</w:t>
            </w:r>
          </w:p>
        </w:tc>
        <w:tc>
          <w:tcPr>
            <w:tcW w:w="1833" w:type="dxa"/>
            <w:tcMar>
              <w:left w:w="105" w:type="dxa"/>
              <w:right w:w="105" w:type="dxa"/>
            </w:tcMar>
          </w:tcPr>
          <w:p w14:paraId="79CEC5F9" w14:textId="687C90BD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sz w:val="22"/>
                <w:szCs w:val="22"/>
              </w:rPr>
              <w:t>To evaluate whether consumption of healthy dietary patterns reduces systemic inflammation in adults, focusing on changes in C-reactive protein (CRP) and other inflammatory biomarkers across intervention studies.</w:t>
            </w:r>
          </w:p>
        </w:tc>
        <w:tc>
          <w:tcPr>
            <w:tcW w:w="2080" w:type="dxa"/>
            <w:tcMar>
              <w:left w:w="105" w:type="dxa"/>
              <w:right w:w="105" w:type="dxa"/>
            </w:tcMar>
          </w:tcPr>
          <w:p w14:paraId="40C4FC48" w14:textId="05E2B15D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Sample size:</w:t>
            </w:r>
            <w:r w:rsidRPr="0C630F75">
              <w:rPr>
                <w:rFonts w:ascii="Aptos" w:eastAsia="Aptos" w:hAnsi="Aptos" w:cs="Aptos"/>
                <w:sz w:val="22"/>
                <w:szCs w:val="22"/>
              </w:rPr>
              <w:t xml:space="preserve"> 18 articles describing 17 studies</w:t>
            </w:r>
          </w:p>
          <w:p w14:paraId="194BD82B" w14:textId="6DD8A301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17"/>
                <w:szCs w:val="17"/>
              </w:rPr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Relevant demographics:</w:t>
            </w:r>
            <w:r w:rsidRPr="0C630F75">
              <w:rPr>
                <w:rFonts w:ascii="Aptos" w:eastAsia="Aptos" w:hAnsi="Aptos" w:cs="Aptos"/>
                <w:sz w:val="22"/>
                <w:szCs w:val="22"/>
              </w:rPr>
              <w:t xml:space="preserve"> Participants’ mean BMI ranged from 24 kg/m</w:t>
            </w:r>
            <w:r w:rsidRPr="0C630F75">
              <w:rPr>
                <w:rFonts w:ascii="Aptos" w:eastAsia="Aptos" w:hAnsi="Aptos" w:cs="Aptos"/>
                <w:sz w:val="22"/>
                <w:szCs w:val="22"/>
                <w:vertAlign w:val="superscript"/>
              </w:rPr>
              <w:t>2</w:t>
            </w:r>
            <w:r w:rsidRPr="0C630F75">
              <w:rPr>
                <w:rFonts w:ascii="Aptos" w:eastAsia="Aptos" w:hAnsi="Aptos" w:cs="Aptos"/>
                <w:sz w:val="22"/>
                <w:szCs w:val="22"/>
              </w:rPr>
              <w:t xml:space="preserve"> to 34.9 kg/m</w:t>
            </w:r>
            <w:r w:rsidRPr="0C630F75">
              <w:rPr>
                <w:rFonts w:ascii="Aptos" w:eastAsia="Aptos" w:hAnsi="Aptos" w:cs="Aptos"/>
                <w:sz w:val="22"/>
                <w:szCs w:val="22"/>
                <w:vertAlign w:val="superscript"/>
              </w:rPr>
              <w:t>2</w:t>
            </w:r>
          </w:p>
          <w:p w14:paraId="23C3B437" w14:textId="7AE0E929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Adults</w:t>
            </w:r>
          </w:p>
          <w:p w14:paraId="02325778" w14:textId="56DB71C0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Race/ethnicity:</w:t>
            </w:r>
            <w:r w:rsidRPr="0C630F75">
              <w:rPr>
                <w:rFonts w:ascii="Aptos" w:eastAsia="Aptos" w:hAnsi="Aptos" w:cs="Aptos"/>
                <w:sz w:val="22"/>
                <w:szCs w:val="22"/>
              </w:rPr>
              <w:t xml:space="preserve"> Not reported</w:t>
            </w:r>
          </w:p>
          <w:p w14:paraId="35777D74" w14:textId="75642EF5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</w:p>
          <w:p w14:paraId="17738C8E" w14:textId="4A7F2FD8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Location:</w:t>
            </w:r>
            <w:r w:rsidRPr="0C630F75">
              <w:rPr>
                <w:rFonts w:ascii="Aptos" w:eastAsia="Aptos" w:hAnsi="Aptos" w:cs="Aptos"/>
                <w:sz w:val="22"/>
                <w:szCs w:val="22"/>
              </w:rPr>
              <w:t xml:space="preserve"> Worldwide</w:t>
            </w:r>
          </w:p>
          <w:p w14:paraId="63F36959" w14:textId="1584D3CC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</w:p>
        </w:tc>
        <w:tc>
          <w:tcPr>
            <w:tcW w:w="3447" w:type="dxa"/>
            <w:tcMar>
              <w:left w:w="105" w:type="dxa"/>
              <w:right w:w="105" w:type="dxa"/>
            </w:tcMar>
          </w:tcPr>
          <w:p w14:paraId="775EC93D" w14:textId="0342ED4B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Primary findings:</w:t>
            </w:r>
          </w:p>
          <w:p w14:paraId="270A5510" w14:textId="4510AB7F" w:rsidR="0C630F75" w:rsidRDefault="0C630F75" w:rsidP="0C630F75">
            <w:pPr>
              <w:pStyle w:val="ListParagraph"/>
              <w:numPr>
                <w:ilvl w:val="0"/>
                <w:numId w:val="7"/>
              </w:numPr>
              <w:spacing w:line="278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sz w:val="22"/>
                <w:szCs w:val="22"/>
              </w:rPr>
              <w:t>CRP was the only biomarker to emerge with substantial evidence for a relationship with healthy dietary patterns.</w:t>
            </w:r>
          </w:p>
          <w:p w14:paraId="541CD269" w14:textId="064C47BF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Other findings:</w:t>
            </w:r>
          </w:p>
          <w:p w14:paraId="41CE2D67" w14:textId="7E62CBF2" w:rsidR="0C630F75" w:rsidRDefault="0C630F75" w:rsidP="0C630F75">
            <w:pPr>
              <w:pStyle w:val="ListParagraph"/>
              <w:numPr>
                <w:ilvl w:val="0"/>
                <w:numId w:val="6"/>
              </w:numPr>
              <w:spacing w:line="278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sz w:val="22"/>
                <w:szCs w:val="22"/>
              </w:rPr>
              <w:t>Trends for increases in total and HMW adiponectin</w:t>
            </w:r>
          </w:p>
          <w:p w14:paraId="74629240" w14:textId="73CF2808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</w:p>
        </w:tc>
        <w:tc>
          <w:tcPr>
            <w:tcW w:w="3447" w:type="dxa"/>
            <w:tcMar>
              <w:left w:w="105" w:type="dxa"/>
              <w:right w:w="105" w:type="dxa"/>
            </w:tcMar>
          </w:tcPr>
          <w:p w14:paraId="0D62867A" w14:textId="43D15554" w:rsidR="3DE4EC72" w:rsidRDefault="3DE4EC72" w:rsidP="0C630F75">
            <w:pPr>
              <w:pStyle w:val="ListParagraph"/>
              <w:numPr>
                <w:ilvl w:val="0"/>
                <w:numId w:val="2"/>
              </w:numPr>
              <w:spacing w:line="278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sz w:val="22"/>
                <w:szCs w:val="22"/>
              </w:rPr>
              <w:t>Limited evidence for effects on biomarkers other than CRP 18 articles describing 17 studies</w:t>
            </w:r>
          </w:p>
          <w:p w14:paraId="13E4127B" w14:textId="3919E1F3" w:rsidR="3DE4EC72" w:rsidRDefault="3DE4EC72" w:rsidP="0C630F75">
            <w:pPr>
              <w:pStyle w:val="ListParagraph"/>
              <w:numPr>
                <w:ilvl w:val="0"/>
                <w:numId w:val="2"/>
              </w:numPr>
              <w:spacing w:line="278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sz w:val="22"/>
                <w:szCs w:val="22"/>
              </w:rPr>
              <w:t xml:space="preserve">Limited number of small studies assessing effects of dietary patterns on </w:t>
            </w:r>
            <w:proofErr w:type="gramStart"/>
            <w:r w:rsidRPr="0C630F75">
              <w:rPr>
                <w:rFonts w:ascii="Aptos" w:eastAsia="Aptos" w:hAnsi="Aptos" w:cs="Aptos"/>
                <w:sz w:val="22"/>
                <w:szCs w:val="22"/>
              </w:rPr>
              <w:t>particular outcomes/biomarkers</w:t>
            </w:r>
            <w:proofErr w:type="gramEnd"/>
            <w:r w:rsidRPr="0C630F75">
              <w:rPr>
                <w:rFonts w:ascii="Aptos" w:eastAsia="Aptos" w:hAnsi="Aptos" w:cs="Aptos"/>
                <w:sz w:val="22"/>
                <w:szCs w:val="22"/>
              </w:rPr>
              <w:t xml:space="preserve"> Males: not reported; Females: not reported</w:t>
            </w:r>
          </w:p>
          <w:p w14:paraId="3789E3D4" w14:textId="514D54B3" w:rsidR="3DE4EC72" w:rsidRDefault="3DE4EC72" w:rsidP="0C630F75">
            <w:pPr>
              <w:pStyle w:val="ListParagraph"/>
              <w:numPr>
                <w:ilvl w:val="0"/>
                <w:numId w:val="2"/>
              </w:numPr>
              <w:spacing w:line="278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sz w:val="22"/>
                <w:szCs w:val="22"/>
              </w:rPr>
              <w:t>Heterogeneity in methods for obtaining dietary intake data</w:t>
            </w:r>
          </w:p>
          <w:p w14:paraId="4D3570D8" w14:textId="61479899" w:rsidR="0C630F75" w:rsidRDefault="0C630F75" w:rsidP="0C630F75">
            <w:pPr>
              <w:spacing w:line="259" w:lineRule="auto"/>
              <w:rPr>
                <w:rFonts w:ascii="Aptos" w:eastAsia="Aptos" w:hAnsi="Aptos" w:cs="Aptos"/>
                <w:b/>
                <w:bCs/>
                <w:sz w:val="22"/>
                <w:szCs w:val="22"/>
              </w:rPr>
            </w:pPr>
          </w:p>
        </w:tc>
      </w:tr>
      <w:tr w:rsidR="0C630F75" w14:paraId="4F0C74FB" w14:textId="77777777" w:rsidTr="1393E901">
        <w:trPr>
          <w:trHeight w:val="450"/>
        </w:trPr>
        <w:tc>
          <w:tcPr>
            <w:tcW w:w="2153" w:type="dxa"/>
            <w:tcMar>
              <w:left w:w="105" w:type="dxa"/>
              <w:right w:w="105" w:type="dxa"/>
            </w:tcMar>
          </w:tcPr>
          <w:p w14:paraId="62E2EE91" w14:textId="176FB520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sz w:val="22"/>
                <w:szCs w:val="22"/>
              </w:rPr>
              <w:t xml:space="preserve">Bujtor M, Turner AI, Torres SJ, Esteban-Gonzalo L, Pariante CM, Borsini A. Associations of Dietary Intake on Biological Markers of Inflammation in Children and Adolescents: A Systematic Review. </w:t>
            </w:r>
            <w:r w:rsidRPr="0C630F75">
              <w:rPr>
                <w:rFonts w:ascii="Aptos" w:eastAsia="Aptos" w:hAnsi="Aptos" w:cs="Aptos"/>
                <w:sz w:val="22"/>
                <w:szCs w:val="22"/>
              </w:rPr>
              <w:lastRenderedPageBreak/>
              <w:t>Nutrients. 2021;13(2).</w:t>
            </w:r>
          </w:p>
          <w:p w14:paraId="54C4A519" w14:textId="79C795B4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Study design:</w:t>
            </w:r>
            <w:r w:rsidRPr="0C630F75">
              <w:rPr>
                <w:rFonts w:ascii="Aptos" w:eastAsia="Aptos" w:hAnsi="Aptos" w:cs="Aptos"/>
                <w:sz w:val="22"/>
                <w:szCs w:val="22"/>
              </w:rPr>
              <w:t xml:space="preserve"> Systematic review</w:t>
            </w:r>
          </w:p>
          <w:p w14:paraId="0A93D321" w14:textId="787254E6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Quality rating:</w:t>
            </w:r>
            <w:r w:rsidRPr="0C630F75">
              <w:rPr>
                <w:rFonts w:ascii="Aptos" w:eastAsia="Aptos" w:hAnsi="Aptos" w:cs="Aptos"/>
                <w:sz w:val="22"/>
                <w:szCs w:val="22"/>
              </w:rPr>
              <w:t xml:space="preserve"> </w:t>
            </w: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Positive</w:t>
            </w:r>
          </w:p>
        </w:tc>
        <w:tc>
          <w:tcPr>
            <w:tcW w:w="1833" w:type="dxa"/>
            <w:tcMar>
              <w:left w:w="105" w:type="dxa"/>
              <w:right w:w="105" w:type="dxa"/>
            </w:tcMar>
          </w:tcPr>
          <w:p w14:paraId="055D0359" w14:textId="6C4D2773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sz w:val="22"/>
                <w:szCs w:val="22"/>
              </w:rPr>
              <w:lastRenderedPageBreak/>
              <w:t xml:space="preserve">To systematically review evidence on associations between dietary intake and dietary patterns (including ultra-processed foods) and biomarkers of inflammation </w:t>
            </w:r>
            <w:r w:rsidRPr="0C630F75">
              <w:rPr>
                <w:rFonts w:ascii="Aptos" w:eastAsia="Aptos" w:hAnsi="Aptos" w:cs="Aptos"/>
                <w:sz w:val="22"/>
                <w:szCs w:val="22"/>
              </w:rPr>
              <w:lastRenderedPageBreak/>
              <w:t>in children and adolescents.</w:t>
            </w:r>
          </w:p>
        </w:tc>
        <w:tc>
          <w:tcPr>
            <w:tcW w:w="2080" w:type="dxa"/>
            <w:tcMar>
              <w:left w:w="105" w:type="dxa"/>
              <w:right w:w="105" w:type="dxa"/>
            </w:tcMar>
          </w:tcPr>
          <w:p w14:paraId="6F4267CA" w14:textId="2421FC47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lastRenderedPageBreak/>
              <w:t>Sample size:</w:t>
            </w:r>
            <w:r w:rsidRPr="0C630F75">
              <w:rPr>
                <w:rFonts w:ascii="Aptos" w:eastAsia="Aptos" w:hAnsi="Aptos" w:cs="Aptos"/>
                <w:sz w:val="22"/>
                <w:szCs w:val="22"/>
              </w:rPr>
              <w:t xml:space="preserve"> 53 studies</w:t>
            </w:r>
          </w:p>
          <w:p w14:paraId="7340AB73" w14:textId="75BE763D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</w:p>
          <w:p w14:paraId="21C78ADF" w14:textId="6D6F4493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Age range/mean:</w:t>
            </w:r>
            <w:r w:rsidRPr="0C630F75">
              <w:rPr>
                <w:rFonts w:ascii="Aptos" w:eastAsia="Aptos" w:hAnsi="Aptos" w:cs="Aptos"/>
                <w:sz w:val="22"/>
                <w:szCs w:val="22"/>
              </w:rPr>
              <w:t xml:space="preserve"> 2 to 19 years</w:t>
            </w:r>
          </w:p>
          <w:p w14:paraId="667D2B56" w14:textId="794ABDFA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Race/ethnicity:</w:t>
            </w:r>
            <w:r w:rsidRPr="0C630F75">
              <w:rPr>
                <w:rFonts w:ascii="Aptos" w:eastAsia="Aptos" w:hAnsi="Aptos" w:cs="Aptos"/>
                <w:sz w:val="22"/>
                <w:szCs w:val="22"/>
              </w:rPr>
              <w:t xml:space="preserve"> Mixed; study-specific</w:t>
            </w:r>
          </w:p>
          <w:p w14:paraId="473F2B52" w14:textId="015ACF3E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Relevant demographics:</w:t>
            </w:r>
            <w:r w:rsidRPr="0C630F75">
              <w:rPr>
                <w:rFonts w:ascii="Aptos" w:eastAsia="Aptos" w:hAnsi="Aptos" w:cs="Aptos"/>
                <w:sz w:val="22"/>
                <w:szCs w:val="22"/>
              </w:rPr>
              <w:t xml:space="preserve"> Healthy youth and </w:t>
            </w:r>
            <w:r w:rsidRPr="0C630F75">
              <w:rPr>
                <w:rFonts w:ascii="Aptos" w:eastAsia="Aptos" w:hAnsi="Aptos" w:cs="Aptos"/>
                <w:sz w:val="22"/>
                <w:szCs w:val="22"/>
              </w:rPr>
              <w:lastRenderedPageBreak/>
              <w:t>youth with obesity,</w:t>
            </w:r>
            <w:r w:rsidR="024B197F" w:rsidRPr="0C630F75">
              <w:rPr>
                <w:rFonts w:ascii="Aptos" w:eastAsia="Aptos" w:hAnsi="Aptos" w:cs="Aptos"/>
                <w:sz w:val="22"/>
                <w:szCs w:val="22"/>
              </w:rPr>
              <w:t xml:space="preserve"> type 1 diabetes, metabolic conditions, inflammatory bowel disease, and related conditions</w:t>
            </w:r>
          </w:p>
          <w:p w14:paraId="73AC3B07" w14:textId="3D0CE64F" w:rsidR="024B197F" w:rsidRDefault="024B197F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Location:</w:t>
            </w:r>
            <w:r w:rsidRPr="0C630F75">
              <w:rPr>
                <w:rFonts w:ascii="Aptos" w:eastAsia="Aptos" w:hAnsi="Aptos" w:cs="Aptos"/>
                <w:sz w:val="22"/>
                <w:szCs w:val="22"/>
              </w:rPr>
              <w:t xml:space="preserve"> Multi-country (Europe—e.g., Switzerland, Portugal, Greece; USA; Australia; Iran; Turkey; Brazil; South Africa; India; Indonesia; Puerto Rico)</w:t>
            </w:r>
          </w:p>
          <w:p w14:paraId="0998B5DA" w14:textId="1CFA91B9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sz w:val="22"/>
                <w:szCs w:val="22"/>
              </w:rPr>
              <w:t xml:space="preserve"> asthma, type 1 diabetes, metabolic conditions, inflammatory bowel disease, and related conditions</w:t>
            </w:r>
          </w:p>
          <w:p w14:paraId="7EBE2866" w14:textId="24CBE0C6" w:rsidR="0C630F75" w:rsidRDefault="0C630F75" w:rsidP="1393E901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1393E901">
              <w:rPr>
                <w:rFonts w:ascii="Aptos" w:eastAsia="Aptos" w:hAnsi="Aptos" w:cs="Aptos"/>
                <w:b/>
                <w:bCs/>
                <w:sz w:val="22"/>
                <w:szCs w:val="22"/>
              </w:rPr>
              <w:t>Location:</w:t>
            </w:r>
            <w:r w:rsidRPr="1393E901">
              <w:rPr>
                <w:rFonts w:ascii="Aptos" w:eastAsia="Aptos" w:hAnsi="Aptos" w:cs="Aptos"/>
                <w:sz w:val="22"/>
                <w:szCs w:val="22"/>
              </w:rPr>
              <w:t xml:space="preserve"> Multi-country (Europe—e.g., Switzerland, Portugal, Greece; USA; Australia; Iran; Turkey; Brazil; South Africa; India; </w:t>
            </w:r>
            <w:r w:rsidRPr="1393E901">
              <w:rPr>
                <w:rFonts w:ascii="Aptos" w:eastAsia="Aptos" w:hAnsi="Aptos" w:cs="Aptos"/>
                <w:sz w:val="22"/>
                <w:szCs w:val="22"/>
              </w:rPr>
              <w:lastRenderedPageBreak/>
              <w:t>Indonesia; Puerto Rico)</w:t>
            </w:r>
          </w:p>
        </w:tc>
        <w:tc>
          <w:tcPr>
            <w:tcW w:w="3447" w:type="dxa"/>
            <w:tcMar>
              <w:left w:w="105" w:type="dxa"/>
              <w:right w:w="105" w:type="dxa"/>
            </w:tcMar>
          </w:tcPr>
          <w:p w14:paraId="5DE56FFC" w14:textId="5E9B98F4" w:rsidR="0C630F75" w:rsidRDefault="0C630F75" w:rsidP="0C630F75">
            <w:pPr>
              <w:spacing w:line="278" w:lineRule="auto"/>
              <w:rPr>
                <w:rFonts w:ascii="Aptos" w:eastAsia="Aptos" w:hAnsi="Aptos" w:cs="Aptos"/>
                <w:sz w:val="22"/>
                <w:szCs w:val="22"/>
              </w:rPr>
            </w:pPr>
          </w:p>
          <w:p w14:paraId="4BB80A4B" w14:textId="2291F0BA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Primary findings:</w:t>
            </w:r>
          </w:p>
          <w:p w14:paraId="323330EF" w14:textId="13B2311C" w:rsidR="0C630F75" w:rsidRDefault="0C630F75" w:rsidP="0C630F75">
            <w:pPr>
              <w:pStyle w:val="ListParagraph"/>
              <w:numPr>
                <w:ilvl w:val="0"/>
                <w:numId w:val="4"/>
              </w:numPr>
              <w:spacing w:line="278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sz w:val="22"/>
                <w:szCs w:val="22"/>
              </w:rPr>
              <w:t xml:space="preserve">Healthier dietary patterns (e.g., Mediterranean, DASH, low glycemic index) and higher intake of fruits, vegetables, fiber, whole grains, and healthy fats were generally associated with lower inflammatory </w:t>
            </w:r>
            <w:r w:rsidRPr="0C630F75">
              <w:rPr>
                <w:rFonts w:ascii="Aptos" w:eastAsia="Aptos" w:hAnsi="Aptos" w:cs="Aptos"/>
                <w:sz w:val="22"/>
                <w:szCs w:val="22"/>
              </w:rPr>
              <w:lastRenderedPageBreak/>
              <w:t>biomarkers (e.g., CRP, IL-6, TNF-α).</w:t>
            </w:r>
          </w:p>
          <w:p w14:paraId="2A306255" w14:textId="613ED470" w:rsidR="0C630F75" w:rsidRDefault="0C630F75" w:rsidP="0C630F75">
            <w:pPr>
              <w:pStyle w:val="ListParagraph"/>
              <w:numPr>
                <w:ilvl w:val="0"/>
                <w:numId w:val="4"/>
              </w:numPr>
              <w:spacing w:line="278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sz w:val="22"/>
                <w:szCs w:val="22"/>
              </w:rPr>
              <w:t>Western dietary patterns, added sugars, saturated fats, sodium, and ultra-processed foods were generally associated with higher inflammatory biomarkers.</w:t>
            </w:r>
          </w:p>
          <w:p w14:paraId="5AF26D0F" w14:textId="4608255D" w:rsidR="0C630F75" w:rsidRDefault="0C630F75" w:rsidP="0C630F75">
            <w:pPr>
              <w:spacing w:line="259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b/>
                <w:bCs/>
                <w:sz w:val="22"/>
                <w:szCs w:val="22"/>
              </w:rPr>
              <w:t>Other findings:</w:t>
            </w:r>
          </w:p>
          <w:p w14:paraId="36976737" w14:textId="6B9680C6" w:rsidR="0C630F75" w:rsidRDefault="0C630F75" w:rsidP="0C630F75">
            <w:pPr>
              <w:pStyle w:val="ListParagraph"/>
              <w:numPr>
                <w:ilvl w:val="0"/>
                <w:numId w:val="3"/>
              </w:numPr>
              <w:spacing w:line="278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sz w:val="22"/>
                <w:szCs w:val="22"/>
              </w:rPr>
              <w:t>Mediterranean diet adherence was linked with lower inflammatory markers in several healthy populations</w:t>
            </w:r>
          </w:p>
          <w:p w14:paraId="03B3715B" w14:textId="5E9CCC6C" w:rsidR="0C630F75" w:rsidRDefault="0C630F75" w:rsidP="0C630F75">
            <w:pPr>
              <w:pStyle w:val="ListParagraph"/>
              <w:numPr>
                <w:ilvl w:val="0"/>
                <w:numId w:val="3"/>
              </w:numPr>
              <w:spacing w:line="278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sz w:val="22"/>
                <w:szCs w:val="22"/>
              </w:rPr>
              <w:t>Whole grains, fruits, and vegetables were associated with lower CRP levels</w:t>
            </w:r>
          </w:p>
          <w:p w14:paraId="4151DAC0" w14:textId="4B1B4A45" w:rsidR="0C630F75" w:rsidRDefault="0C630F75" w:rsidP="0C630F75">
            <w:pPr>
              <w:pStyle w:val="ListParagraph"/>
              <w:numPr>
                <w:ilvl w:val="0"/>
                <w:numId w:val="3"/>
              </w:numPr>
              <w:spacing w:line="278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sz w:val="22"/>
                <w:szCs w:val="22"/>
              </w:rPr>
              <w:t>Saturated fat and sugar-sweetened beverages were associated with higher CRP and IL-6</w:t>
            </w:r>
          </w:p>
          <w:p w14:paraId="7E1A332E" w14:textId="2A47D209" w:rsidR="0C630F75" w:rsidRDefault="0C630F75" w:rsidP="0C630F75">
            <w:pPr>
              <w:pStyle w:val="ListParagraph"/>
              <w:numPr>
                <w:ilvl w:val="0"/>
                <w:numId w:val="3"/>
              </w:numPr>
              <w:spacing w:line="278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sz w:val="22"/>
                <w:szCs w:val="22"/>
              </w:rPr>
              <w:t>Some studies reported no significant associations, particularly in populations with type 1 diabetes or obesity</w:t>
            </w:r>
          </w:p>
          <w:p w14:paraId="0E785023" w14:textId="3EC272C1" w:rsidR="0C630F75" w:rsidRDefault="0C630F75" w:rsidP="0C630F75">
            <w:pPr>
              <w:spacing w:line="278" w:lineRule="auto"/>
              <w:ind w:left="720"/>
              <w:rPr>
                <w:rFonts w:ascii="Aptos" w:eastAsia="Aptos" w:hAnsi="Aptos" w:cs="Aptos"/>
                <w:sz w:val="22"/>
                <w:szCs w:val="22"/>
              </w:rPr>
            </w:pPr>
          </w:p>
        </w:tc>
        <w:tc>
          <w:tcPr>
            <w:tcW w:w="3447" w:type="dxa"/>
            <w:tcMar>
              <w:left w:w="105" w:type="dxa"/>
              <w:right w:w="105" w:type="dxa"/>
            </w:tcMar>
          </w:tcPr>
          <w:p w14:paraId="69A96BC7" w14:textId="22E57746" w:rsidR="078B8733" w:rsidRDefault="078B8733" w:rsidP="0C630F75">
            <w:pPr>
              <w:pStyle w:val="ListParagraph"/>
              <w:numPr>
                <w:ilvl w:val="0"/>
                <w:numId w:val="1"/>
              </w:numPr>
              <w:spacing w:line="278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sz w:val="22"/>
                <w:szCs w:val="22"/>
              </w:rPr>
              <w:lastRenderedPageBreak/>
              <w:t>Heterogeneity in measures of intake and dietary patterns 53 studies</w:t>
            </w:r>
          </w:p>
          <w:p w14:paraId="48ACE488" w14:textId="676BC4E4" w:rsidR="078B8733" w:rsidRDefault="078B8733" w:rsidP="0C630F75">
            <w:pPr>
              <w:pStyle w:val="ListParagraph"/>
              <w:numPr>
                <w:ilvl w:val="0"/>
                <w:numId w:val="1"/>
              </w:numPr>
              <w:spacing w:line="278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C630F75">
              <w:rPr>
                <w:rFonts w:ascii="Aptos" w:eastAsia="Aptos" w:hAnsi="Aptos" w:cs="Aptos"/>
                <w:sz w:val="22"/>
                <w:szCs w:val="22"/>
              </w:rPr>
              <w:t>No consensus regarding best methods of assessing inflammation Males: varied across studies; Females: varied across studies</w:t>
            </w:r>
          </w:p>
          <w:p w14:paraId="7FE475B0" w14:textId="2B081E66" w:rsidR="0C630F75" w:rsidRDefault="0C630F75" w:rsidP="0C630F75">
            <w:pPr>
              <w:pStyle w:val="ListParagraph"/>
              <w:spacing w:line="278" w:lineRule="auto"/>
              <w:rPr>
                <w:rFonts w:ascii="Aptos" w:eastAsia="Aptos" w:hAnsi="Aptos" w:cs="Aptos"/>
                <w:sz w:val="22"/>
                <w:szCs w:val="22"/>
              </w:rPr>
            </w:pPr>
          </w:p>
        </w:tc>
      </w:tr>
    </w:tbl>
    <w:p w14:paraId="2C078E63" w14:textId="5FB88C8E" w:rsidR="005804C7" w:rsidRDefault="005804C7"/>
    <w:sectPr w:rsidR="005804C7">
      <w:headerReference w:type="default" r:id="rId10"/>
      <w:footerReference w:type="defaul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85E0C" w14:textId="77777777" w:rsidR="00714F02" w:rsidRDefault="00714F02">
      <w:pPr>
        <w:spacing w:after="0" w:line="240" w:lineRule="auto"/>
      </w:pPr>
      <w:r>
        <w:separator/>
      </w:r>
    </w:p>
  </w:endnote>
  <w:endnote w:type="continuationSeparator" w:id="0">
    <w:p w14:paraId="398E32CA" w14:textId="77777777" w:rsidR="00714F02" w:rsidRDefault="00714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0C630F75" w14:paraId="27D3C417" w14:textId="77777777" w:rsidTr="0C630F75">
      <w:trPr>
        <w:trHeight w:val="300"/>
      </w:trPr>
      <w:tc>
        <w:tcPr>
          <w:tcW w:w="4320" w:type="dxa"/>
        </w:tcPr>
        <w:p w14:paraId="2D503D41" w14:textId="31A69E28" w:rsidR="0C630F75" w:rsidRDefault="0C630F75" w:rsidP="0C630F75">
          <w:pPr>
            <w:pStyle w:val="Header"/>
            <w:ind w:left="-115"/>
          </w:pPr>
        </w:p>
      </w:tc>
      <w:tc>
        <w:tcPr>
          <w:tcW w:w="4320" w:type="dxa"/>
        </w:tcPr>
        <w:p w14:paraId="08ADE978" w14:textId="60906138" w:rsidR="0C630F75" w:rsidRDefault="0C630F75" w:rsidP="0C630F75">
          <w:pPr>
            <w:pStyle w:val="Header"/>
            <w:jc w:val="center"/>
          </w:pPr>
        </w:p>
      </w:tc>
      <w:tc>
        <w:tcPr>
          <w:tcW w:w="4320" w:type="dxa"/>
        </w:tcPr>
        <w:p w14:paraId="682E0192" w14:textId="580AE4D9" w:rsidR="0C630F75" w:rsidRDefault="0C630F75" w:rsidP="0C630F75">
          <w:pPr>
            <w:pStyle w:val="Header"/>
            <w:ind w:right="-115"/>
            <w:jc w:val="right"/>
          </w:pPr>
        </w:p>
      </w:tc>
    </w:tr>
  </w:tbl>
  <w:p w14:paraId="1432FC49" w14:textId="7499C2FE" w:rsidR="0C630F75" w:rsidRDefault="0C630F75" w:rsidP="0C630F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B29E9" w14:textId="77777777" w:rsidR="00714F02" w:rsidRDefault="00714F02">
      <w:pPr>
        <w:spacing w:after="0" w:line="240" w:lineRule="auto"/>
      </w:pPr>
      <w:r>
        <w:separator/>
      </w:r>
    </w:p>
  </w:footnote>
  <w:footnote w:type="continuationSeparator" w:id="0">
    <w:p w14:paraId="0871D400" w14:textId="77777777" w:rsidR="00714F02" w:rsidRDefault="00714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290A7" w14:textId="25F1A336" w:rsidR="0C630F75" w:rsidRDefault="0C630F75" w:rsidP="0C630F75">
    <w:pPr>
      <w:pStyle w:val="Header"/>
      <w:rPr>
        <w:rFonts w:ascii="Aptos" w:eastAsia="Aptos" w:hAnsi="Aptos" w:cs="Aptos"/>
      </w:rPr>
    </w:pPr>
    <w:r w:rsidRPr="0C630F75">
      <w:rPr>
        <w:rFonts w:ascii="Aptos" w:eastAsia="Aptos" w:hAnsi="Aptos" w:cs="Aptos"/>
      </w:rPr>
      <w:t>Texas Nutrition Advisory Committee</w:t>
    </w:r>
  </w:p>
  <w:p w14:paraId="2C72DB63" w14:textId="149D97D3" w:rsidR="0C630F75" w:rsidRDefault="0C630F75" w:rsidP="0C630F75">
    <w:pPr>
      <w:pStyle w:val="Header"/>
      <w:rPr>
        <w:rFonts w:ascii="Aptos" w:eastAsia="Aptos" w:hAnsi="Aptos" w:cs="Aptos"/>
      </w:rPr>
    </w:pPr>
    <w:r w:rsidRPr="0C630F75">
      <w:rPr>
        <w:rFonts w:ascii="Aptos" w:eastAsia="Aptos" w:hAnsi="Aptos" w:cs="Aptos"/>
      </w:rPr>
      <w:t>Summary of Relevant Literature Table</w:t>
    </w:r>
  </w:p>
  <w:p w14:paraId="597A89AA" w14:textId="54D0D64A" w:rsidR="0C630F75" w:rsidRDefault="0C630F75" w:rsidP="0C630F75">
    <w:pPr>
      <w:pStyle w:val="Header"/>
      <w:rPr>
        <w:rFonts w:ascii="Aptos" w:eastAsia="Aptos" w:hAnsi="Aptos" w:cs="Aptos"/>
      </w:rPr>
    </w:pPr>
    <w:r w:rsidRPr="0C630F75">
      <w:rPr>
        <w:rFonts w:ascii="Aptos" w:eastAsia="Aptos" w:hAnsi="Aptos" w:cs="Aptos"/>
      </w:rPr>
      <w:t xml:space="preserve">Topic: Immune Health and </w:t>
    </w:r>
    <w:proofErr w:type="gramStart"/>
    <w:r w:rsidRPr="0C630F75">
      <w:rPr>
        <w:rFonts w:ascii="Aptos" w:eastAsia="Aptos" w:hAnsi="Aptos" w:cs="Aptos"/>
      </w:rPr>
      <w:t>Minimally-Processed</w:t>
    </w:r>
    <w:proofErr w:type="gramEnd"/>
    <w:r w:rsidRPr="0C630F75">
      <w:rPr>
        <w:rFonts w:ascii="Aptos" w:eastAsia="Aptos" w:hAnsi="Aptos" w:cs="Aptos"/>
      </w:rPr>
      <w:t>/Unprocessed, High-Dietary Quality Diets</w:t>
    </w:r>
  </w:p>
  <w:p w14:paraId="466071A3" w14:textId="6A1A058D" w:rsidR="0C630F75" w:rsidRDefault="0C630F75" w:rsidP="0C630F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0692"/>
    <w:multiLevelType w:val="hybridMultilevel"/>
    <w:tmpl w:val="7AFCB01A"/>
    <w:lvl w:ilvl="0" w:tplc="641884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4CF3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D2C8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8A41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5297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9652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DCAF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FA73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08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7D5A9"/>
    <w:multiLevelType w:val="hybridMultilevel"/>
    <w:tmpl w:val="9A9004F4"/>
    <w:lvl w:ilvl="0" w:tplc="76F4D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D6F6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6CE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80DE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7A71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5A4C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98C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9854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35854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97ABA"/>
    <w:multiLevelType w:val="hybridMultilevel"/>
    <w:tmpl w:val="0A5A994E"/>
    <w:lvl w:ilvl="0" w:tplc="C682EF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5886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9FA63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4AEC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A65D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901A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7E4A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AE7E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48B3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530C2"/>
    <w:multiLevelType w:val="hybridMultilevel"/>
    <w:tmpl w:val="B4E070C2"/>
    <w:lvl w:ilvl="0" w:tplc="3DBCC9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C95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F48D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9820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7E84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7659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92FD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FCFB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F84E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B60A5B"/>
    <w:multiLevelType w:val="hybridMultilevel"/>
    <w:tmpl w:val="847AA04C"/>
    <w:lvl w:ilvl="0" w:tplc="1EA899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7C70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D098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429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C412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5AEF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2C48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5033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E0E5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20F1C2"/>
    <w:multiLevelType w:val="hybridMultilevel"/>
    <w:tmpl w:val="BCC20648"/>
    <w:lvl w:ilvl="0" w:tplc="44A012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1AE0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4C20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2C71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E017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54D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24CC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0AD6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A258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19B46C"/>
    <w:multiLevelType w:val="hybridMultilevel"/>
    <w:tmpl w:val="A1829746"/>
    <w:lvl w:ilvl="0" w:tplc="E4E0E8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44EF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B0F2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D2B9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7E29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D28D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846E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746A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28FD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490921">
    <w:abstractNumId w:val="2"/>
  </w:num>
  <w:num w:numId="2" w16cid:durableId="1022245085">
    <w:abstractNumId w:val="3"/>
  </w:num>
  <w:num w:numId="3" w16cid:durableId="2020233337">
    <w:abstractNumId w:val="1"/>
  </w:num>
  <w:num w:numId="4" w16cid:durableId="2126998930">
    <w:abstractNumId w:val="4"/>
  </w:num>
  <w:num w:numId="5" w16cid:durableId="1017775397">
    <w:abstractNumId w:val="0"/>
  </w:num>
  <w:num w:numId="6" w16cid:durableId="857701273">
    <w:abstractNumId w:val="5"/>
  </w:num>
  <w:num w:numId="7" w16cid:durableId="348797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D90C4E"/>
    <w:rsid w:val="00430C16"/>
    <w:rsid w:val="005804C7"/>
    <w:rsid w:val="00714F02"/>
    <w:rsid w:val="00742ADD"/>
    <w:rsid w:val="024B197F"/>
    <w:rsid w:val="078B8733"/>
    <w:rsid w:val="095830D8"/>
    <w:rsid w:val="0C630F75"/>
    <w:rsid w:val="0E3E6C59"/>
    <w:rsid w:val="1393E901"/>
    <w:rsid w:val="3DE4EC72"/>
    <w:rsid w:val="49F08C4F"/>
    <w:rsid w:val="52F0A65D"/>
    <w:rsid w:val="545279A1"/>
    <w:rsid w:val="5473E88B"/>
    <w:rsid w:val="61ED24AC"/>
    <w:rsid w:val="65C75A32"/>
    <w:rsid w:val="68D90C4E"/>
    <w:rsid w:val="6A8189A6"/>
    <w:rsid w:val="6B5AFFA1"/>
    <w:rsid w:val="7F75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65F07"/>
  <w15:chartTrackingRefBased/>
  <w15:docId w15:val="{80B4736D-0A3E-4F2B-B8BD-D716A4DE6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C630F75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0C630F75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C630F75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CB2FD9D0E60E4D9A540172FBC638A5" ma:contentTypeVersion="20" ma:contentTypeDescription="Create a new document." ma:contentTypeScope="" ma:versionID="673ef0d5390faac1c216dd066c1759b7">
  <xsd:schema xmlns:xsd="http://www.w3.org/2001/XMLSchema" xmlns:xs="http://www.w3.org/2001/XMLSchema" xmlns:p="http://schemas.microsoft.com/office/2006/metadata/properties" xmlns:ns2="5acf3f67-585c-462a-94f9-0e8032306a18" xmlns:ns3="160abd0e-414f-47c5-a2d7-eced7709f37f" xmlns:ns4="d853a810-d2a2-4c28-9ad9-9100c9a22e04" targetNamespace="http://schemas.microsoft.com/office/2006/metadata/properties" ma:root="true" ma:fieldsID="17b0aad9b176f0cab4043de4e58c2e02" ns2:_="" ns3:_="" ns4:_="">
    <xsd:import namespace="5acf3f67-585c-462a-94f9-0e8032306a18"/>
    <xsd:import namespace="160abd0e-414f-47c5-a2d7-eced7709f37f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Added_x003f_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f3f67-585c-462a-94f9-0e8032306a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Added_x003f_" ma:index="26" nillable="true" ma:displayName="Added?" ma:format="Dropdown" ma:internalName="Added_x003f_">
      <xsd:simpleType>
        <xsd:restriction base="dms:Choice">
          <xsd:enumeration value="Yes"/>
          <xsd:enumeration value="Choice 2"/>
          <xsd:enumeration value="Choice 3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abd0e-414f-47c5-a2d7-eced7709f3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a7164e48-2eb0-4aa9-be91-6fb83a67d0dd}" ma:internalName="TaxCatchAll" ma:showField="CatchAllData" ma:web="160abd0e-414f-47c5-a2d7-eced7709f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5acf3f67-585c-462a-94f9-0e8032306a18">
      <Terms xmlns="http://schemas.microsoft.com/office/infopath/2007/PartnerControls"/>
    </lcf76f155ced4ddcb4097134ff3c332f>
    <SharedWithUsers xmlns="160abd0e-414f-47c5-a2d7-eced7709f37f">
      <UserInfo>
        <DisplayName/>
        <AccountId xsi:nil="true"/>
        <AccountType/>
      </UserInfo>
    </SharedWithUsers>
    <Added_x003f_ xmlns="5acf3f67-585c-462a-94f9-0e8032306a1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08A807-BC41-4844-8E94-1D642C1BC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f3f67-585c-462a-94f9-0e8032306a18"/>
    <ds:schemaRef ds:uri="160abd0e-414f-47c5-a2d7-eced7709f37f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A54644-18A5-407A-8465-8DD91F937EF9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5acf3f67-585c-462a-94f9-0e8032306a18"/>
    <ds:schemaRef ds:uri="160abd0e-414f-47c5-a2d7-eced7709f37f"/>
  </ds:schemaRefs>
</ds:datastoreItem>
</file>

<file path=customXml/itemProps3.xml><?xml version="1.0" encoding="utf-8"?>
<ds:datastoreItem xmlns:ds="http://schemas.openxmlformats.org/officeDocument/2006/customXml" ds:itemID="{BB4BE7D1-E158-48DD-98E7-8980394EAB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2856</Characters>
  <Application>Microsoft Office Word</Application>
  <DocSecurity>0</DocSecurity>
  <Lines>63</Lines>
  <Paragraphs>41</Paragraphs>
  <ScaleCrop>false</ScaleCrop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Kathleen Davis</dc:creator>
  <cp:keywords/>
  <dc:description/>
  <cp:lastModifiedBy>Garcia,Ilza  (DSHS)</cp:lastModifiedBy>
  <cp:revision>2</cp:revision>
  <dcterms:created xsi:type="dcterms:W3CDTF">2026-09-02T13:14:00Z</dcterms:created>
  <dcterms:modified xsi:type="dcterms:W3CDTF">2026-09-02T13:14:00Z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0x0101002BCB2FD9D0E60E4D9A540172FBC638A5</vt:lpwstr>
  </property>
  <property fmtid="{D5CDD505-2E9C-101B-9397-08002B2CF9AE}" pid="3" name="_dlc_DocIdItemGuid">
    <vt:lpwstr>34e70774-0ad8-404d-92d3-5793ca8390b5</vt:lpwstr>
  </property>
  <property fmtid="{D5CDD505-2E9C-101B-9397-08002B2CF9AE}" pid="4" name="MediaServiceImageTags">
    <vt:lpwstr/>
  </property>
  <property fmtid="{D5CDD505-2E9C-101B-9397-08002B2CF9AE}" pid="5" name="Order">
    <vt:r8>540500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